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D323" w14:textId="77777777" w:rsidR="00393B9C" w:rsidRDefault="00393B9C" w:rsidP="00393B9C">
      <w:pPr>
        <w:rPr>
          <w:rFonts w:ascii="Tahoma" w:hAnsi="Tahoma" w:cs="Tahoma"/>
          <w:b/>
          <w:bCs/>
        </w:rPr>
      </w:pPr>
      <w:r>
        <w:rPr>
          <w:rFonts w:ascii="Tahoma" w:hAnsi="Tahoma" w:cs="Tahoma"/>
          <w:b/>
          <w:bCs/>
          <w:noProof/>
          <w:sz w:val="20"/>
        </w:rPr>
        <mc:AlternateContent>
          <mc:Choice Requires="wps">
            <w:drawing>
              <wp:anchor distT="0" distB="0" distL="114300" distR="114300" simplePos="0" relativeHeight="251661312" behindDoc="0" locked="0" layoutInCell="1" allowOverlap="1" wp14:anchorId="33BD5BC7" wp14:editId="0276B4C4">
                <wp:simplePos x="0" y="0"/>
                <wp:positionH relativeFrom="column">
                  <wp:posOffset>0</wp:posOffset>
                </wp:positionH>
                <wp:positionV relativeFrom="paragraph">
                  <wp:posOffset>114300</wp:posOffset>
                </wp:positionV>
                <wp:extent cx="1828800" cy="0"/>
                <wp:effectExtent l="9525" t="7620" r="952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86CFB"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Nc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s8wUqSH&#10;Fu28JaLtPKq0UiCgtmgWdBqMKyC8UlsbKqUntTPPmn53SOmqI6rlke/r2QBIFjKSNylh4wzcth++&#10;aAYx5OB1FO3U2D5AghzoFHtzvveGnzyicJjNJ/N5Ci2kN19Ciluisc5/5rpHwSixFCrIRgpyfHY+&#10;ECHFLSQcK70RUsbWS4WGEi+mk2lMcFoKFpwhzNl2X0mLjiQMT/xiVeB5DLP6oFgE6zhh66vtiZAX&#10;Gy6XKuBBKUDnal2m48ciXazn63k+yiez9ShP63r0aVPlo9km+zitP9RVVWc/A7UsLzrBGFeB3W1S&#10;s/zvJuH6Zi4zdp/VuwzJW/SoF5C9/SPp2MvQvssg7DU7b+2txzCcMfj6kML0P+7Bfnzuq18AAAD/&#10;/wMAUEsDBBQABgAIAAAAIQCE4oPT2QAAAAYBAAAPAAAAZHJzL2Rvd25yZXYueG1sTI9BT8MwDIXv&#10;SPyHyJO4TCylSKgqTacJ6I0LY9OuXmPaisbpmmwr/Ho8cYCT7fes58/FcnK9OtEYOs8G7hYJKOLa&#10;244bA5v36jYDFSKyxd4zGfiiAMvy+qrA3Pozv9FpHRslIRxyNNDGOORah7olh2HhB2LxPvzoMMo4&#10;NtqOeJZw1+s0SR60w47lQosDPbVUf66PzkCotnSovuf1PNndN57Sw/PrCxpzM5tWj6AiTfFvGS74&#10;gg6lMO39kW1QvQF5JIqaSRU3zS7N/lfQZaH/45c/AAAA//8DAFBLAQItABQABgAIAAAAIQC2gziS&#10;/gAAAOEBAAATAAAAAAAAAAAAAAAAAAAAAABbQ29udGVudF9UeXBlc10ueG1sUEsBAi0AFAAGAAgA&#10;AAAhADj9If/WAAAAlAEAAAsAAAAAAAAAAAAAAAAALwEAAF9yZWxzLy5yZWxzUEsBAi0AFAAGAAgA&#10;AAAhAKOgI1wdAgAANgQAAA4AAAAAAAAAAAAAAAAALgIAAGRycy9lMm9Eb2MueG1sUEsBAi0AFAAG&#10;AAgAAAAhAITig9PZAAAABgEAAA8AAAAAAAAAAAAAAAAAdwQAAGRycy9kb3ducmV2LnhtbFBLBQYA&#10;AAAABAAEAPMAAAB9BQAAAAA=&#10;"/>
            </w:pict>
          </mc:Fallback>
        </mc:AlternateContent>
      </w:r>
      <w:r>
        <w:rPr>
          <w:rFonts w:ascii="Tahoma" w:hAnsi="Tahoma" w:cs="Tahoma"/>
          <w:b/>
          <w:bCs/>
        </w:rPr>
        <w:tab/>
      </w:r>
      <w:r>
        <w:rPr>
          <w:rFonts w:ascii="Tahoma" w:hAnsi="Tahoma" w:cs="Tahoma"/>
          <w:b/>
          <w:bCs/>
        </w:rPr>
        <w:tab/>
        <w:t xml:space="preserve">      </w:t>
      </w:r>
    </w:p>
    <w:p w14:paraId="3E9096DE" w14:textId="77777777" w:rsidR="00393B9C" w:rsidRDefault="00393B9C" w:rsidP="00393B9C">
      <w:pPr>
        <w:pStyle w:val="Heading2"/>
        <w:ind w:left="0"/>
        <w:rPr>
          <w:rFonts w:ascii="Monotype Corsiva" w:hAnsi="Monotype Corsiva"/>
          <w:spacing w:val="20"/>
          <w:sz w:val="40"/>
        </w:rPr>
      </w:pPr>
      <w:r>
        <w:rPr>
          <w:noProof/>
        </w:rPr>
        <w:drawing>
          <wp:anchor distT="0" distB="0" distL="114300" distR="114300" simplePos="0" relativeHeight="251659264" behindDoc="0" locked="0" layoutInCell="1" allowOverlap="1" wp14:anchorId="1F018405" wp14:editId="18326BDE">
            <wp:simplePos x="0" y="0"/>
            <wp:positionH relativeFrom="column">
              <wp:posOffset>0</wp:posOffset>
            </wp:positionH>
            <wp:positionV relativeFrom="paragraph">
              <wp:posOffset>44450</wp:posOffset>
            </wp:positionV>
            <wp:extent cx="740410" cy="744220"/>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lum bright="10000" contrast="60000"/>
                      <a:extLst>
                        <a:ext uri="{28A0092B-C50C-407E-A947-70E740481C1C}">
                          <a14:useLocalDpi xmlns:a14="http://schemas.microsoft.com/office/drawing/2010/main" val="0"/>
                        </a:ext>
                      </a:extLst>
                    </a:blip>
                    <a:srcRect l="-136" t="-136" r="-136" b="-136"/>
                    <a:stretch>
                      <a:fillRect/>
                    </a:stretch>
                  </pic:blipFill>
                  <pic:spPr bwMode="auto">
                    <a:xfrm>
                      <a:off x="0" y="0"/>
                      <a:ext cx="740410" cy="7442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Monotype Corsiva" w:hAnsi="Monotype Corsiva"/>
          <w:spacing w:val="20"/>
          <w:sz w:val="40"/>
        </w:rPr>
        <w:t xml:space="preserve">Queen                                                      </w:t>
      </w:r>
    </w:p>
    <w:p w14:paraId="4BF8A27B" w14:textId="77777777" w:rsidR="00393B9C" w:rsidRDefault="00393B9C" w:rsidP="00393B9C">
      <w:pPr>
        <w:pStyle w:val="Heading1"/>
        <w:rPr>
          <w:rFonts w:ascii="Monotype Corsiva" w:hAnsi="Monotype Corsiva"/>
          <w:spacing w:val="20"/>
          <w:sz w:val="40"/>
        </w:rPr>
      </w:pPr>
      <w:r>
        <w:rPr>
          <w:rFonts w:ascii="Monotype Corsiva" w:hAnsi="Monotype Corsiva"/>
          <w:spacing w:val="20"/>
          <w:sz w:val="40"/>
        </w:rPr>
        <w:t xml:space="preserve">  Anne’s                                                  </w:t>
      </w:r>
    </w:p>
    <w:p w14:paraId="1C7E2EBD" w14:textId="77777777" w:rsidR="00393B9C" w:rsidRDefault="00393B9C" w:rsidP="00393B9C">
      <w:pPr>
        <w:pStyle w:val="Heading1"/>
        <w:rPr>
          <w:rFonts w:ascii="Lucida Calligraphy" w:hAnsi="Lucida Calligraphy"/>
        </w:rPr>
      </w:pPr>
      <w:r>
        <w:rPr>
          <w:rFonts w:ascii="Monotype Corsiva" w:hAnsi="Monotype Corsiva"/>
          <w:spacing w:val="20"/>
          <w:sz w:val="40"/>
        </w:rPr>
        <w:t xml:space="preserve">  County</w:t>
      </w:r>
      <w:r>
        <w:rPr>
          <w:rFonts w:ascii="Lucida Calligraphy" w:hAnsi="Lucida Calligraphy"/>
          <w:sz w:val="28"/>
        </w:rPr>
        <w:tab/>
        <w:t xml:space="preserve">                                                     </w:t>
      </w:r>
    </w:p>
    <w:p w14:paraId="2FD3CB46" w14:textId="77777777" w:rsidR="00393B9C" w:rsidRPr="009C096B" w:rsidRDefault="00393B9C" w:rsidP="00393B9C">
      <w:pPr>
        <w:rPr>
          <w:b/>
          <w:i/>
          <w:sz w:val="22"/>
          <w:szCs w:val="22"/>
        </w:rPr>
      </w:pPr>
      <w:r w:rsidRPr="009C096B">
        <w:rPr>
          <w:noProof/>
          <w:sz w:val="22"/>
          <w:szCs w:val="22"/>
        </w:rPr>
        <mc:AlternateContent>
          <mc:Choice Requires="wps">
            <w:drawing>
              <wp:anchor distT="0" distB="0" distL="114300" distR="114300" simplePos="0" relativeHeight="251660288" behindDoc="0" locked="0" layoutInCell="1" allowOverlap="1" wp14:anchorId="6160E908" wp14:editId="5DD8B963">
                <wp:simplePos x="0" y="0"/>
                <wp:positionH relativeFrom="column">
                  <wp:posOffset>0</wp:posOffset>
                </wp:positionH>
                <wp:positionV relativeFrom="paragraph">
                  <wp:posOffset>4445</wp:posOffset>
                </wp:positionV>
                <wp:extent cx="1828800" cy="0"/>
                <wp:effectExtent l="9525" t="12700" r="952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C5ED9"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2in,.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An9ZhO1wAAAAIBAAAPAAAAZHJzL2Rvd25yZXYueG1sTI/BTsMwEETv&#10;SP0HaytxqahDkGgU4lQIyI0LbRHXbbwkEfE6jd028PVsT3B8mtXM22I9uV6daAydZwO3ywQUce1t&#10;x42B3ba6yUCFiGyx90wGvinAupxdFZhbf+Y3Om1io6SEQ44G2hiHXOtQt+QwLP1ALNmnHx1GwbHR&#10;dsSzlLtep0lyrx12LAstDvTUUv21OToDoXqnQ/WzqBfJx13jKT08v76gMdfz6fEBVKQp/h3DRV/U&#10;oRSnvT+yDao3II9EAytQkqVZJri/oC4L/V+9/AUAAP//AwBQSwECLQAUAAYACAAAACEAtoM4kv4A&#10;AADhAQAAEwAAAAAAAAAAAAAAAAAAAAAAW0NvbnRlbnRfVHlwZXNdLnhtbFBLAQItABQABgAIAAAA&#10;IQA4/SH/1gAAAJQBAAALAAAAAAAAAAAAAAAAAC8BAABfcmVscy8ucmVsc1BLAQItABQABgAIAAAA&#10;IQDAnMiEHQIAADYEAAAOAAAAAAAAAAAAAAAAAC4CAABkcnMvZTJvRG9jLnhtbFBLAQItABQABgAI&#10;AAAAIQAn9ZhO1wAAAAIBAAAPAAAAAAAAAAAAAAAAAHcEAABkcnMvZG93bnJldi54bWxQSwUGAAAA&#10;AAQABADzAAAAewUAAAAA&#10;"/>
            </w:pict>
          </mc:Fallback>
        </mc:AlternateContent>
      </w:r>
      <w:r w:rsidRPr="009C096B">
        <w:rPr>
          <w:b/>
          <w:i/>
          <w:sz w:val="22"/>
          <w:szCs w:val="22"/>
        </w:rPr>
        <w:t>County Commissioners:</w:t>
      </w:r>
    </w:p>
    <w:p w14:paraId="6B2A0243" w14:textId="77777777" w:rsidR="00393B9C" w:rsidRPr="009C096B" w:rsidRDefault="00393B9C" w:rsidP="00393B9C">
      <w:pPr>
        <w:rPr>
          <w:sz w:val="18"/>
          <w:szCs w:val="18"/>
        </w:rPr>
      </w:pPr>
      <w:r>
        <w:rPr>
          <w:sz w:val="18"/>
          <w:szCs w:val="18"/>
        </w:rPr>
        <w:t>James J. Moran, At Large</w:t>
      </w:r>
    </w:p>
    <w:p w14:paraId="45A5A945" w14:textId="77777777" w:rsidR="00393B9C" w:rsidRPr="009C096B" w:rsidRDefault="00393B9C" w:rsidP="00393B9C">
      <w:pPr>
        <w:rPr>
          <w:sz w:val="18"/>
          <w:szCs w:val="18"/>
        </w:rPr>
      </w:pPr>
      <w:r>
        <w:rPr>
          <w:sz w:val="18"/>
          <w:szCs w:val="18"/>
        </w:rPr>
        <w:t>Jack N. Wilson, Jr., District</w:t>
      </w:r>
      <w:r w:rsidRPr="009C096B">
        <w:rPr>
          <w:sz w:val="18"/>
          <w:szCs w:val="18"/>
        </w:rPr>
        <w:t xml:space="preserve"> 1</w:t>
      </w:r>
    </w:p>
    <w:p w14:paraId="7F5B8950" w14:textId="4BB5E5AC" w:rsidR="00393B9C" w:rsidRPr="009C096B" w:rsidRDefault="003C0B34" w:rsidP="00393B9C">
      <w:pPr>
        <w:rPr>
          <w:sz w:val="18"/>
          <w:szCs w:val="18"/>
        </w:rPr>
      </w:pPr>
      <w:r>
        <w:rPr>
          <w:sz w:val="18"/>
          <w:szCs w:val="18"/>
        </w:rPr>
        <w:t>J. Patrick McLaughlin</w:t>
      </w:r>
      <w:r w:rsidR="00393B9C" w:rsidRPr="009C096B">
        <w:rPr>
          <w:sz w:val="18"/>
          <w:szCs w:val="18"/>
        </w:rPr>
        <w:t>, District 2</w:t>
      </w:r>
    </w:p>
    <w:p w14:paraId="75AFCCAD" w14:textId="77777777" w:rsidR="00393B9C" w:rsidRPr="009C096B" w:rsidRDefault="00393B9C" w:rsidP="00393B9C">
      <w:pPr>
        <w:rPr>
          <w:sz w:val="18"/>
          <w:szCs w:val="18"/>
        </w:rPr>
      </w:pPr>
      <w:bookmarkStart w:id="0" w:name="_Hlk6409027"/>
      <w:r>
        <w:rPr>
          <w:sz w:val="18"/>
          <w:szCs w:val="18"/>
        </w:rPr>
        <w:t>Philip L. Dumenil</w:t>
      </w:r>
      <w:r w:rsidRPr="009C096B">
        <w:rPr>
          <w:sz w:val="18"/>
          <w:szCs w:val="18"/>
        </w:rPr>
        <w:t>, District 3</w:t>
      </w:r>
    </w:p>
    <w:p w14:paraId="744C0A8C" w14:textId="77777777" w:rsidR="00393B9C" w:rsidRPr="009C096B" w:rsidRDefault="00393B9C" w:rsidP="00393B9C">
      <w:pPr>
        <w:rPr>
          <w:sz w:val="18"/>
          <w:szCs w:val="18"/>
        </w:rPr>
      </w:pPr>
      <w:r>
        <w:rPr>
          <w:sz w:val="18"/>
          <w:szCs w:val="18"/>
        </w:rPr>
        <w:t>Christopher M. Corchiarino,</w:t>
      </w:r>
      <w:r w:rsidRPr="009C096B">
        <w:rPr>
          <w:sz w:val="18"/>
          <w:szCs w:val="18"/>
        </w:rPr>
        <w:t xml:space="preserve"> District 4</w:t>
      </w:r>
      <w:bookmarkEnd w:id="0"/>
    </w:p>
    <w:p w14:paraId="7539620D" w14:textId="77777777" w:rsidR="00705803" w:rsidRDefault="00705803" w:rsidP="00393B9C">
      <w:pPr>
        <w:pStyle w:val="BodyText2"/>
        <w:rPr>
          <w:rFonts w:ascii="Arial" w:hAnsi="Arial" w:cs="Arial"/>
          <w:sz w:val="28"/>
        </w:rPr>
      </w:pPr>
    </w:p>
    <w:p w14:paraId="5D7750EC" w14:textId="77777777" w:rsidR="00705803" w:rsidRDefault="00705803" w:rsidP="00393B9C">
      <w:pPr>
        <w:pStyle w:val="BodyText2"/>
        <w:rPr>
          <w:rFonts w:ascii="Arial" w:hAnsi="Arial" w:cs="Arial"/>
          <w:sz w:val="28"/>
        </w:rPr>
      </w:pPr>
    </w:p>
    <w:p w14:paraId="243D86E3" w14:textId="520D25FE" w:rsidR="00393B9C" w:rsidRDefault="001A7B57" w:rsidP="00393B9C">
      <w:pPr>
        <w:pStyle w:val="BodyText2"/>
        <w:rPr>
          <w:rFonts w:ascii="Arial" w:hAnsi="Arial" w:cs="Arial"/>
          <w:sz w:val="28"/>
        </w:rPr>
      </w:pPr>
      <w:r>
        <w:rPr>
          <w:rFonts w:ascii="Arial" w:hAnsi="Arial" w:cs="Arial"/>
          <w:sz w:val="28"/>
        </w:rPr>
        <w:t>Department of Public Works</w:t>
      </w:r>
    </w:p>
    <w:p w14:paraId="004F7ACA" w14:textId="70BE1307" w:rsidR="00393B9C" w:rsidRPr="00512A9C" w:rsidRDefault="001A7B57" w:rsidP="00393B9C">
      <w:pPr>
        <w:jc w:val="right"/>
        <w:rPr>
          <w:rFonts w:ascii="Tahoma" w:hAnsi="Tahoma" w:cs="Tahoma"/>
          <w:sz w:val="20"/>
        </w:rPr>
      </w:pPr>
      <w:r>
        <w:rPr>
          <w:rFonts w:ascii="Tahoma" w:hAnsi="Tahoma" w:cs="Tahoma"/>
          <w:sz w:val="20"/>
        </w:rPr>
        <w:t xml:space="preserve">312 Safety Drive </w:t>
      </w:r>
    </w:p>
    <w:p w14:paraId="042643BF" w14:textId="77777777" w:rsidR="00393B9C" w:rsidRPr="00512A9C" w:rsidRDefault="00393B9C" w:rsidP="00393B9C">
      <w:pPr>
        <w:pStyle w:val="Heading3"/>
        <w:jc w:val="right"/>
        <w:rPr>
          <w:rFonts w:ascii="Tahoma" w:hAnsi="Tahoma" w:cs="Tahoma"/>
          <w:sz w:val="20"/>
        </w:rPr>
      </w:pPr>
      <w:r w:rsidRPr="00512A9C">
        <w:rPr>
          <w:rFonts w:ascii="Tahoma" w:hAnsi="Tahoma" w:cs="Tahoma"/>
          <w:sz w:val="20"/>
        </w:rPr>
        <w:t>Centreville, MD 21617</w:t>
      </w:r>
    </w:p>
    <w:p w14:paraId="6D573F28" w14:textId="61906C07" w:rsidR="001A7B57" w:rsidRDefault="001A7B57" w:rsidP="001A7B57">
      <w:pPr>
        <w:jc w:val="right"/>
        <w:rPr>
          <w:rFonts w:ascii="Arial" w:hAnsi="Arial" w:cs="Arial"/>
          <w:sz w:val="16"/>
          <w:szCs w:val="16"/>
        </w:rPr>
      </w:pPr>
    </w:p>
    <w:p w14:paraId="7C8D4140" w14:textId="77777777" w:rsidR="00705803" w:rsidRDefault="00705803" w:rsidP="001A7B57">
      <w:pPr>
        <w:jc w:val="right"/>
        <w:rPr>
          <w:rFonts w:ascii="Arial" w:hAnsi="Arial" w:cs="Arial"/>
          <w:sz w:val="16"/>
          <w:szCs w:val="16"/>
        </w:rPr>
      </w:pPr>
    </w:p>
    <w:p w14:paraId="4B0197E1" w14:textId="561C3CBE" w:rsidR="00393B9C" w:rsidRPr="00705803" w:rsidRDefault="001A7B57" w:rsidP="001A7B57">
      <w:pPr>
        <w:jc w:val="right"/>
        <w:rPr>
          <w:rFonts w:ascii="Arial" w:hAnsi="Arial" w:cs="Arial"/>
          <w:sz w:val="18"/>
          <w:szCs w:val="18"/>
        </w:rPr>
      </w:pPr>
      <w:r w:rsidRPr="00705803">
        <w:rPr>
          <w:rFonts w:ascii="Arial" w:hAnsi="Arial" w:cs="Arial"/>
          <w:sz w:val="18"/>
          <w:szCs w:val="18"/>
        </w:rPr>
        <w:t>Telephone: (410) 758-0925</w:t>
      </w:r>
    </w:p>
    <w:p w14:paraId="145335F2" w14:textId="74AC7C3A" w:rsidR="001A7B57" w:rsidRPr="00705803" w:rsidRDefault="001A7B57" w:rsidP="001A7B57">
      <w:pPr>
        <w:jc w:val="right"/>
        <w:rPr>
          <w:rFonts w:ascii="Arial" w:hAnsi="Arial" w:cs="Arial"/>
          <w:sz w:val="18"/>
          <w:szCs w:val="18"/>
        </w:rPr>
      </w:pPr>
      <w:r w:rsidRPr="00705803">
        <w:rPr>
          <w:rFonts w:ascii="Arial" w:hAnsi="Arial" w:cs="Arial"/>
          <w:sz w:val="18"/>
          <w:szCs w:val="18"/>
        </w:rPr>
        <w:t>Fax: (410) 758-3441</w:t>
      </w:r>
    </w:p>
    <w:p w14:paraId="172C825F" w14:textId="302F2FE7" w:rsidR="00393B9C" w:rsidRPr="00705803" w:rsidRDefault="001A7B57" w:rsidP="00393B9C">
      <w:pPr>
        <w:jc w:val="right"/>
        <w:rPr>
          <w:rFonts w:ascii="Tahoma" w:hAnsi="Tahoma" w:cs="Tahoma"/>
          <w:sz w:val="18"/>
          <w:szCs w:val="22"/>
        </w:rPr>
      </w:pPr>
      <w:r w:rsidRPr="00705803">
        <w:rPr>
          <w:rFonts w:ascii="Tahoma" w:hAnsi="Tahoma" w:cs="Tahoma"/>
          <w:sz w:val="18"/>
          <w:szCs w:val="22"/>
        </w:rPr>
        <w:t xml:space="preserve">www.qac.org </w:t>
      </w:r>
      <w:r w:rsidR="00393B9C" w:rsidRPr="00705803">
        <w:rPr>
          <w:rFonts w:ascii="Tahoma" w:hAnsi="Tahoma" w:cs="Tahoma"/>
          <w:sz w:val="18"/>
          <w:szCs w:val="22"/>
        </w:rPr>
        <w:t xml:space="preserve"> </w:t>
      </w:r>
    </w:p>
    <w:p w14:paraId="21922BDD" w14:textId="471EC7CF" w:rsidR="00393B9C" w:rsidRDefault="00393B9C" w:rsidP="00393B9C">
      <w:pPr>
        <w:jc w:val="right"/>
        <w:rPr>
          <w:sz w:val="16"/>
          <w:szCs w:val="16"/>
        </w:rPr>
      </w:pPr>
    </w:p>
    <w:p w14:paraId="02E427CB" w14:textId="05D75730" w:rsidR="001A7B57" w:rsidRDefault="001A7B57" w:rsidP="00393B9C">
      <w:pPr>
        <w:jc w:val="right"/>
        <w:rPr>
          <w:sz w:val="16"/>
          <w:szCs w:val="16"/>
        </w:rPr>
      </w:pPr>
    </w:p>
    <w:p w14:paraId="31388802" w14:textId="60C68EB4" w:rsidR="001A7B57" w:rsidRDefault="001A7B57" w:rsidP="00393B9C">
      <w:pPr>
        <w:jc w:val="right"/>
        <w:rPr>
          <w:sz w:val="16"/>
          <w:szCs w:val="16"/>
        </w:rPr>
      </w:pPr>
    </w:p>
    <w:p w14:paraId="3C5D861D" w14:textId="6AEEEC49" w:rsidR="001A7B57" w:rsidRDefault="001A7B57" w:rsidP="00393B9C">
      <w:pPr>
        <w:jc w:val="right"/>
        <w:rPr>
          <w:sz w:val="16"/>
          <w:szCs w:val="16"/>
        </w:rPr>
      </w:pPr>
    </w:p>
    <w:p w14:paraId="6AEB9FFB" w14:textId="77777777" w:rsidR="001A7B57" w:rsidRPr="00F40217" w:rsidRDefault="001A7B57" w:rsidP="00393B9C">
      <w:pPr>
        <w:jc w:val="right"/>
        <w:rPr>
          <w:sz w:val="16"/>
          <w:szCs w:val="16"/>
        </w:rPr>
      </w:pPr>
    </w:p>
    <w:p w14:paraId="78D08AC2" w14:textId="2F9C55F2" w:rsidR="00393B9C" w:rsidRDefault="001A7B57" w:rsidP="00393B9C">
      <w:pPr>
        <w:jc w:val="right"/>
        <w:rPr>
          <w:rFonts w:ascii="Calibri" w:eastAsia="Calibri" w:hAnsi="Calibri"/>
          <w:sz w:val="22"/>
          <w:szCs w:val="22"/>
        </w:rPr>
      </w:pPr>
      <w:r>
        <w:rPr>
          <w:i/>
          <w:sz w:val="20"/>
        </w:rPr>
        <w:t xml:space="preserve"> </w:t>
      </w:r>
    </w:p>
    <w:p w14:paraId="73682936" w14:textId="77777777" w:rsidR="00393B9C" w:rsidRDefault="00393B9C" w:rsidP="00393B9C">
      <w:pPr>
        <w:rPr>
          <w:rFonts w:ascii="Tahoma" w:hAnsi="Tahoma" w:cs="Tahoma"/>
          <w:sz w:val="19"/>
          <w:szCs w:val="19"/>
        </w:rPr>
        <w:sectPr w:rsidR="00393B9C" w:rsidSect="00393B9C">
          <w:footerReference w:type="default" r:id="rId9"/>
          <w:pgSz w:w="12240" w:h="15840"/>
          <w:pgMar w:top="720" w:right="720" w:bottom="720" w:left="720" w:header="720" w:footer="720" w:gutter="0"/>
          <w:cols w:num="2" w:space="720" w:equalWidth="0">
            <w:col w:w="3312" w:space="720"/>
            <w:col w:w="6768"/>
          </w:cols>
          <w:docGrid w:linePitch="360"/>
        </w:sectPr>
      </w:pPr>
    </w:p>
    <w:p w14:paraId="7E01FCD1" w14:textId="68BE60BD" w:rsidR="00393B9C" w:rsidRDefault="00393B9C" w:rsidP="00393B9C">
      <w:pPr>
        <w:rPr>
          <w:rFonts w:ascii="Tahoma" w:hAnsi="Tahoma" w:cs="Tahoma"/>
          <w:sz w:val="19"/>
          <w:szCs w:val="19"/>
        </w:rPr>
      </w:pPr>
    </w:p>
    <w:p w14:paraId="4AC11F4C" w14:textId="77777777" w:rsidR="009B426B" w:rsidRPr="009B426B" w:rsidRDefault="009B426B" w:rsidP="009B426B">
      <w:pPr>
        <w:rPr>
          <w:rFonts w:ascii="Garamond" w:eastAsia="Aptos" w:hAnsi="Garamond"/>
          <w:b/>
          <w:bCs/>
          <w:kern w:val="2"/>
          <w:szCs w:val="22"/>
          <w14:ligatures w14:val="standardContextual"/>
        </w:rPr>
      </w:pPr>
      <w:bookmarkStart w:id="1" w:name="_Hlk214534975"/>
      <w:r w:rsidRPr="009B426B">
        <w:rPr>
          <w:rFonts w:ascii="Garamond" w:eastAsia="Aptos" w:hAnsi="Garamond"/>
          <w:b/>
          <w:bCs/>
          <w:kern w:val="2"/>
          <w:szCs w:val="22"/>
          <w14:ligatures w14:val="standardContextual"/>
        </w:rPr>
        <w:t>Water &amp; Sewer Allocation FAQ</w:t>
      </w:r>
    </w:p>
    <w:p w14:paraId="6DDA7C06" w14:textId="77777777" w:rsidR="009B426B" w:rsidRPr="009B426B" w:rsidRDefault="009B426B" w:rsidP="009B426B">
      <w:pPr>
        <w:rPr>
          <w:rFonts w:ascii="Garamond" w:eastAsia="Aptos" w:hAnsi="Garamond"/>
          <w:b/>
          <w:bCs/>
          <w:kern w:val="2"/>
          <w:szCs w:val="22"/>
          <w14:ligatures w14:val="standardContextual"/>
        </w:rPr>
      </w:pPr>
      <w:r w:rsidRPr="009B426B">
        <w:rPr>
          <w:rFonts w:ascii="Garamond" w:eastAsia="Aptos" w:hAnsi="Garamond"/>
          <w:b/>
          <w:bCs/>
          <w:kern w:val="2"/>
          <w:szCs w:val="22"/>
          <w14:ligatures w14:val="standardContextual"/>
        </w:rPr>
        <w:t xml:space="preserve">Matt Lucas, P.E. </w:t>
      </w:r>
    </w:p>
    <w:p w14:paraId="71D4F514" w14:textId="77777777" w:rsidR="009B426B" w:rsidRPr="009B426B" w:rsidRDefault="009B426B" w:rsidP="009B426B">
      <w:pPr>
        <w:rPr>
          <w:rFonts w:ascii="Garamond" w:eastAsia="Aptos" w:hAnsi="Garamond"/>
          <w:b/>
          <w:bCs/>
          <w:kern w:val="2"/>
          <w:szCs w:val="22"/>
          <w14:ligatures w14:val="standardContextual"/>
        </w:rPr>
      </w:pPr>
      <w:r w:rsidRPr="009B426B">
        <w:rPr>
          <w:rFonts w:ascii="Garamond" w:eastAsia="Aptos" w:hAnsi="Garamond"/>
          <w:b/>
          <w:bCs/>
          <w:kern w:val="2"/>
          <w:szCs w:val="22"/>
          <w14:ligatures w14:val="standardContextual"/>
        </w:rPr>
        <w:t>Chief Sanitary Engineer - Queen Anne's Co. DPW</w:t>
      </w:r>
    </w:p>
    <w:p w14:paraId="11CAE6B2" w14:textId="77777777" w:rsidR="009B426B" w:rsidRPr="009B426B" w:rsidRDefault="009B426B" w:rsidP="009B426B">
      <w:pPr>
        <w:rPr>
          <w:rFonts w:ascii="Garamond" w:eastAsia="Aptos" w:hAnsi="Garamond"/>
          <w:b/>
          <w:bCs/>
          <w:kern w:val="2"/>
          <w:szCs w:val="22"/>
          <w14:ligatures w14:val="standardContextual"/>
        </w:rPr>
      </w:pPr>
    </w:p>
    <w:p w14:paraId="3000F9D4" w14:textId="77777777" w:rsidR="009B426B" w:rsidRPr="009B426B" w:rsidRDefault="009B426B" w:rsidP="009B426B">
      <w:pPr>
        <w:rPr>
          <w:rFonts w:ascii="Garamond" w:eastAsia="Aptos" w:hAnsi="Garamond"/>
          <w:kern w:val="2"/>
          <w:szCs w:val="22"/>
          <w14:ligatures w14:val="standardContextual"/>
        </w:rPr>
      </w:pPr>
      <w:r w:rsidRPr="009B426B">
        <w:rPr>
          <w:rFonts w:ascii="Garamond" w:eastAsia="Aptos" w:hAnsi="Garamond"/>
          <w:b/>
          <w:bCs/>
          <w:kern w:val="2"/>
          <w:szCs w:val="22"/>
          <w14:ligatures w14:val="standardContextual"/>
        </w:rPr>
        <w:t>Q: What is allocation?</w:t>
      </w:r>
      <w:r w:rsidRPr="009B426B">
        <w:rPr>
          <w:rFonts w:ascii="Garamond" w:eastAsia="Aptos" w:hAnsi="Garamond"/>
          <w:kern w:val="2"/>
          <w:szCs w:val="22"/>
          <w14:ligatures w14:val="standardContextual"/>
        </w:rPr>
        <w:br/>
      </w:r>
      <w:r w:rsidRPr="009B426B">
        <w:rPr>
          <w:rFonts w:ascii="Garamond" w:eastAsia="Aptos" w:hAnsi="Garamond"/>
          <w:b/>
          <w:bCs/>
          <w:kern w:val="2"/>
          <w:szCs w:val="22"/>
          <w14:ligatures w14:val="standardContextual"/>
        </w:rPr>
        <w:t>A:</w:t>
      </w:r>
      <w:r w:rsidRPr="009B426B">
        <w:rPr>
          <w:rFonts w:ascii="Garamond" w:eastAsia="Aptos" w:hAnsi="Garamond"/>
          <w:kern w:val="2"/>
          <w:szCs w:val="22"/>
          <w14:ligatures w14:val="standardContextual"/>
        </w:rPr>
        <w:t xml:space="preserve"> Allocation is the official reservation of water and/or sewer capacity for a property or development project. It ensures that the public system </w:t>
      </w:r>
      <w:proofErr w:type="gramStart"/>
      <w:r w:rsidRPr="009B426B">
        <w:rPr>
          <w:rFonts w:ascii="Garamond" w:eastAsia="Aptos" w:hAnsi="Garamond"/>
          <w:kern w:val="2"/>
          <w:szCs w:val="22"/>
          <w14:ligatures w14:val="standardContextual"/>
        </w:rPr>
        <w:t>has the ability to</w:t>
      </w:r>
      <w:proofErr w:type="gramEnd"/>
      <w:r w:rsidRPr="009B426B">
        <w:rPr>
          <w:rFonts w:ascii="Garamond" w:eastAsia="Aptos" w:hAnsi="Garamond"/>
          <w:kern w:val="2"/>
          <w:szCs w:val="22"/>
          <w14:ligatures w14:val="standardContextual"/>
        </w:rPr>
        <w:t xml:space="preserve"> serve the proposed use.</w:t>
      </w:r>
    </w:p>
    <w:p w14:paraId="307D1894" w14:textId="77777777" w:rsidR="009B426B" w:rsidRPr="009B426B" w:rsidRDefault="009B426B" w:rsidP="009B426B">
      <w:pPr>
        <w:rPr>
          <w:rFonts w:ascii="Garamond" w:eastAsia="Aptos" w:hAnsi="Garamond"/>
          <w:b/>
          <w:bCs/>
          <w:kern w:val="2"/>
          <w:szCs w:val="22"/>
          <w14:ligatures w14:val="standardContextual"/>
        </w:rPr>
      </w:pPr>
    </w:p>
    <w:p w14:paraId="4A24A215" w14:textId="77777777" w:rsidR="009B426B" w:rsidRPr="009B426B" w:rsidRDefault="009B426B" w:rsidP="009B426B">
      <w:pPr>
        <w:rPr>
          <w:rFonts w:ascii="Garamond" w:eastAsia="Aptos" w:hAnsi="Garamond"/>
          <w:kern w:val="2"/>
          <w:szCs w:val="22"/>
          <w14:ligatures w14:val="standardContextual"/>
        </w:rPr>
      </w:pPr>
      <w:r w:rsidRPr="009B426B">
        <w:rPr>
          <w:rFonts w:ascii="Garamond" w:eastAsia="Aptos" w:hAnsi="Garamond"/>
          <w:b/>
          <w:bCs/>
          <w:kern w:val="2"/>
          <w:szCs w:val="22"/>
          <w14:ligatures w14:val="standardContextual"/>
        </w:rPr>
        <w:t>Q: How can developers or property owners obtain allocation?</w:t>
      </w:r>
      <w:r w:rsidRPr="009B426B">
        <w:rPr>
          <w:rFonts w:ascii="Garamond" w:eastAsia="Aptos" w:hAnsi="Garamond"/>
          <w:kern w:val="2"/>
          <w:szCs w:val="22"/>
          <w14:ligatures w14:val="standardContextual"/>
        </w:rPr>
        <w:br/>
      </w:r>
      <w:r w:rsidRPr="009B426B">
        <w:rPr>
          <w:rFonts w:ascii="Garamond" w:eastAsia="Aptos" w:hAnsi="Garamond"/>
          <w:b/>
          <w:bCs/>
          <w:kern w:val="2"/>
          <w:szCs w:val="22"/>
          <w14:ligatures w14:val="standardContextual"/>
        </w:rPr>
        <w:t>A:</w:t>
      </w:r>
      <w:r w:rsidRPr="009B426B">
        <w:rPr>
          <w:rFonts w:ascii="Garamond" w:eastAsia="Aptos" w:hAnsi="Garamond"/>
          <w:kern w:val="2"/>
          <w:szCs w:val="22"/>
          <w14:ligatures w14:val="standardContextual"/>
        </w:rPr>
        <w:t xml:space="preserve"> Allocation is obtained through an application to the Sanitary District/County. It must match the property’s approved water and sewer service area in the County Water and Sewerage Plan and is granted based on available system capacity.</w:t>
      </w:r>
    </w:p>
    <w:p w14:paraId="7A6AE1EE" w14:textId="77777777" w:rsidR="009B426B" w:rsidRPr="009B426B" w:rsidRDefault="009B426B" w:rsidP="009B426B">
      <w:pPr>
        <w:rPr>
          <w:rFonts w:ascii="Garamond" w:eastAsia="Aptos" w:hAnsi="Garamond"/>
          <w:b/>
          <w:bCs/>
          <w:kern w:val="2"/>
          <w:szCs w:val="22"/>
          <w14:ligatures w14:val="standardContextual"/>
        </w:rPr>
      </w:pPr>
    </w:p>
    <w:p w14:paraId="716A73A6" w14:textId="77777777" w:rsidR="009B426B" w:rsidRPr="009B426B" w:rsidRDefault="009B426B" w:rsidP="009B426B">
      <w:pPr>
        <w:rPr>
          <w:rFonts w:ascii="Garamond" w:eastAsia="Aptos" w:hAnsi="Garamond"/>
          <w:kern w:val="2"/>
          <w:szCs w:val="22"/>
          <w14:ligatures w14:val="standardContextual"/>
        </w:rPr>
      </w:pPr>
      <w:r w:rsidRPr="009B426B">
        <w:rPr>
          <w:rFonts w:ascii="Garamond" w:eastAsia="Aptos" w:hAnsi="Garamond"/>
          <w:b/>
          <w:bCs/>
          <w:kern w:val="2"/>
          <w:szCs w:val="22"/>
          <w14:ligatures w14:val="standardContextual"/>
        </w:rPr>
        <w:t>Q: What is a sewer or water service area?</w:t>
      </w:r>
      <w:r w:rsidRPr="009B426B">
        <w:rPr>
          <w:rFonts w:ascii="Garamond" w:eastAsia="Aptos" w:hAnsi="Garamond"/>
          <w:kern w:val="2"/>
          <w:szCs w:val="22"/>
          <w14:ligatures w14:val="standardContextual"/>
        </w:rPr>
        <w:br/>
      </w:r>
      <w:r w:rsidRPr="009B426B">
        <w:rPr>
          <w:rFonts w:ascii="Garamond" w:eastAsia="Aptos" w:hAnsi="Garamond"/>
          <w:b/>
          <w:bCs/>
          <w:kern w:val="2"/>
          <w:szCs w:val="22"/>
          <w14:ligatures w14:val="standardContextual"/>
        </w:rPr>
        <w:t>A:</w:t>
      </w:r>
      <w:r w:rsidRPr="009B426B">
        <w:rPr>
          <w:rFonts w:ascii="Garamond" w:eastAsia="Aptos" w:hAnsi="Garamond"/>
          <w:kern w:val="2"/>
          <w:szCs w:val="22"/>
          <w14:ligatures w14:val="standardContextual"/>
        </w:rPr>
        <w:t xml:space="preserve"> A service area is a designated boundary in the County’s Comprehensive Water and Sewerage Plan (CWSP) that identifies where public water and sewer service is available now or planned in the future.</w:t>
      </w:r>
    </w:p>
    <w:p w14:paraId="1BE3A1D1" w14:textId="77777777" w:rsidR="009B426B" w:rsidRPr="009B426B" w:rsidRDefault="009B426B" w:rsidP="009B426B">
      <w:pPr>
        <w:rPr>
          <w:rFonts w:ascii="Garamond" w:eastAsia="Aptos" w:hAnsi="Garamond"/>
          <w:b/>
          <w:bCs/>
          <w:kern w:val="2"/>
          <w:szCs w:val="22"/>
          <w14:ligatures w14:val="standardContextual"/>
        </w:rPr>
      </w:pPr>
    </w:p>
    <w:p w14:paraId="06C381CE" w14:textId="77777777" w:rsidR="009B426B" w:rsidRPr="009B426B" w:rsidRDefault="009B426B" w:rsidP="009B426B">
      <w:pPr>
        <w:rPr>
          <w:rFonts w:ascii="Garamond" w:eastAsia="Aptos" w:hAnsi="Garamond"/>
          <w:kern w:val="2"/>
          <w:szCs w:val="22"/>
          <w14:ligatures w14:val="standardContextual"/>
        </w:rPr>
      </w:pPr>
      <w:r w:rsidRPr="009B426B">
        <w:rPr>
          <w:rFonts w:ascii="Garamond" w:eastAsia="Aptos" w:hAnsi="Garamond"/>
          <w:b/>
          <w:bCs/>
          <w:kern w:val="2"/>
          <w:szCs w:val="22"/>
          <w14:ligatures w14:val="standardContextual"/>
        </w:rPr>
        <w:t>Q: I know my water and sewer designation – can I buy allocation?</w:t>
      </w:r>
      <w:r w:rsidRPr="009B426B">
        <w:rPr>
          <w:rFonts w:ascii="Garamond" w:eastAsia="Aptos" w:hAnsi="Garamond"/>
          <w:kern w:val="2"/>
          <w:szCs w:val="22"/>
          <w14:ligatures w14:val="standardContextual"/>
        </w:rPr>
        <w:br/>
      </w:r>
      <w:r w:rsidRPr="009B426B">
        <w:rPr>
          <w:rFonts w:ascii="Garamond" w:eastAsia="Aptos" w:hAnsi="Garamond"/>
          <w:b/>
          <w:bCs/>
          <w:kern w:val="2"/>
          <w:szCs w:val="22"/>
          <w14:ligatures w14:val="standardContextual"/>
        </w:rPr>
        <w:t>A:</w:t>
      </w:r>
      <w:r w:rsidRPr="009B426B">
        <w:rPr>
          <w:rFonts w:ascii="Garamond" w:eastAsia="Aptos" w:hAnsi="Garamond"/>
          <w:kern w:val="2"/>
          <w:szCs w:val="22"/>
          <w14:ligatures w14:val="standardContextual"/>
        </w:rPr>
        <w:t xml:space="preserve"> Being in a service area does not automatically mean allocation is available. Allocation can only be granted if there is adequate system </w:t>
      </w:r>
      <w:proofErr w:type="gramStart"/>
      <w:r w:rsidRPr="009B426B">
        <w:rPr>
          <w:rFonts w:ascii="Garamond" w:eastAsia="Aptos" w:hAnsi="Garamond"/>
          <w:kern w:val="2"/>
          <w:szCs w:val="22"/>
          <w14:ligatures w14:val="standardContextual"/>
        </w:rPr>
        <w:t>capacity</w:t>
      </w:r>
      <w:proofErr w:type="gramEnd"/>
      <w:r w:rsidRPr="009B426B">
        <w:rPr>
          <w:rFonts w:ascii="Garamond" w:eastAsia="Aptos" w:hAnsi="Garamond"/>
          <w:kern w:val="2"/>
          <w:szCs w:val="22"/>
          <w14:ligatures w14:val="standardContextual"/>
        </w:rPr>
        <w:t xml:space="preserve"> and the project meets County requirements.</w:t>
      </w:r>
    </w:p>
    <w:p w14:paraId="15577C21" w14:textId="77777777" w:rsidR="009B426B" w:rsidRPr="009B426B" w:rsidRDefault="009B426B" w:rsidP="009B426B">
      <w:pPr>
        <w:rPr>
          <w:rFonts w:ascii="Garamond" w:eastAsia="Aptos" w:hAnsi="Garamond"/>
          <w:b/>
          <w:bCs/>
          <w:kern w:val="2"/>
          <w:szCs w:val="22"/>
          <w14:ligatures w14:val="standardContextual"/>
        </w:rPr>
      </w:pPr>
    </w:p>
    <w:p w14:paraId="5841AB9E" w14:textId="77777777" w:rsidR="009B426B" w:rsidRPr="009B426B" w:rsidRDefault="009B426B" w:rsidP="009B426B">
      <w:pPr>
        <w:rPr>
          <w:rFonts w:ascii="Garamond" w:eastAsia="Aptos" w:hAnsi="Garamond"/>
          <w:kern w:val="2"/>
          <w:szCs w:val="22"/>
          <w14:ligatures w14:val="standardContextual"/>
        </w:rPr>
      </w:pPr>
      <w:r w:rsidRPr="009B426B">
        <w:rPr>
          <w:rFonts w:ascii="Garamond" w:eastAsia="Aptos" w:hAnsi="Garamond"/>
          <w:b/>
          <w:bCs/>
          <w:kern w:val="2"/>
          <w:szCs w:val="22"/>
          <w14:ligatures w14:val="standardContextual"/>
        </w:rPr>
        <w:t>Q: What is a Water and Sewer Map Amendment?</w:t>
      </w:r>
      <w:r w:rsidRPr="009B426B">
        <w:rPr>
          <w:rFonts w:ascii="Garamond" w:eastAsia="Aptos" w:hAnsi="Garamond"/>
          <w:kern w:val="2"/>
          <w:szCs w:val="22"/>
          <w14:ligatures w14:val="standardContextual"/>
        </w:rPr>
        <w:br/>
      </w:r>
      <w:r w:rsidRPr="009B426B">
        <w:rPr>
          <w:rFonts w:ascii="Garamond" w:eastAsia="Aptos" w:hAnsi="Garamond"/>
          <w:b/>
          <w:bCs/>
          <w:kern w:val="2"/>
          <w:szCs w:val="22"/>
          <w14:ligatures w14:val="standardContextual"/>
        </w:rPr>
        <w:t>A:</w:t>
      </w:r>
      <w:r w:rsidRPr="009B426B">
        <w:rPr>
          <w:rFonts w:ascii="Garamond" w:eastAsia="Aptos" w:hAnsi="Garamond"/>
          <w:kern w:val="2"/>
          <w:szCs w:val="22"/>
          <w14:ligatures w14:val="standardContextual"/>
        </w:rPr>
        <w:t xml:space="preserve"> A Water and Sewer Map Amendment is a formal change to the County’s Comprehensive Water and Sewerage Plan. It may adjust service area designations or facility planning to reflect growth, new projects, or infrastructure improvements. Amendments require review and approval by the County Commissioners and the Maryland Department of the Environment.</w:t>
      </w:r>
    </w:p>
    <w:p w14:paraId="6A61BDFD" w14:textId="77777777" w:rsidR="009B426B" w:rsidRPr="009B426B" w:rsidRDefault="009B426B" w:rsidP="009B426B">
      <w:pPr>
        <w:rPr>
          <w:rFonts w:ascii="Garamond" w:eastAsia="Aptos" w:hAnsi="Garamond"/>
          <w:b/>
          <w:bCs/>
          <w:kern w:val="2"/>
          <w:szCs w:val="22"/>
          <w14:ligatures w14:val="standardContextual"/>
        </w:rPr>
      </w:pPr>
    </w:p>
    <w:p w14:paraId="42C27AD6" w14:textId="77777777" w:rsidR="009B426B" w:rsidRPr="009B426B" w:rsidRDefault="009B426B" w:rsidP="009B426B">
      <w:pPr>
        <w:rPr>
          <w:rFonts w:ascii="Garamond" w:eastAsia="Aptos" w:hAnsi="Garamond"/>
          <w:kern w:val="2"/>
          <w:szCs w:val="22"/>
          <w14:ligatures w14:val="standardContextual"/>
        </w:rPr>
      </w:pPr>
      <w:r w:rsidRPr="009B426B">
        <w:rPr>
          <w:rFonts w:ascii="Garamond" w:eastAsia="Aptos" w:hAnsi="Garamond"/>
          <w:b/>
          <w:bCs/>
          <w:kern w:val="2"/>
          <w:szCs w:val="22"/>
          <w14:ligatures w14:val="standardContextual"/>
        </w:rPr>
        <w:t>Q: Does allocation expire if I don’t use it right away?</w:t>
      </w:r>
      <w:r w:rsidRPr="009B426B">
        <w:rPr>
          <w:rFonts w:ascii="Garamond" w:eastAsia="Aptos" w:hAnsi="Garamond"/>
          <w:kern w:val="2"/>
          <w:szCs w:val="22"/>
          <w14:ligatures w14:val="standardContextual"/>
        </w:rPr>
        <w:br/>
      </w:r>
      <w:r w:rsidRPr="009B426B">
        <w:rPr>
          <w:rFonts w:ascii="Garamond" w:eastAsia="Aptos" w:hAnsi="Garamond"/>
          <w:b/>
          <w:bCs/>
          <w:kern w:val="2"/>
          <w:szCs w:val="22"/>
          <w14:ligatures w14:val="standardContextual"/>
        </w:rPr>
        <w:t>A:</w:t>
      </w:r>
      <w:r w:rsidRPr="009B426B">
        <w:rPr>
          <w:rFonts w:ascii="Garamond" w:eastAsia="Aptos" w:hAnsi="Garamond"/>
          <w:kern w:val="2"/>
          <w:szCs w:val="22"/>
          <w14:ligatures w14:val="standardContextual"/>
        </w:rPr>
        <w:t xml:space="preserve"> Yes. Allocations typically have an expiration period if not used within a certain time. If construction does not begin or permits are not pulled, the allocation may </w:t>
      </w:r>
      <w:proofErr w:type="gramStart"/>
      <w:r w:rsidRPr="009B426B">
        <w:rPr>
          <w:rFonts w:ascii="Garamond" w:eastAsia="Aptos" w:hAnsi="Garamond"/>
          <w:kern w:val="2"/>
          <w:szCs w:val="22"/>
          <w14:ligatures w14:val="standardContextual"/>
        </w:rPr>
        <w:t>revert back</w:t>
      </w:r>
      <w:proofErr w:type="gramEnd"/>
      <w:r w:rsidRPr="009B426B">
        <w:rPr>
          <w:rFonts w:ascii="Garamond" w:eastAsia="Aptos" w:hAnsi="Garamond"/>
          <w:kern w:val="2"/>
          <w:szCs w:val="22"/>
          <w14:ligatures w14:val="standardContextual"/>
        </w:rPr>
        <w:t xml:space="preserve"> to the County for reassignment.</w:t>
      </w:r>
    </w:p>
    <w:p w14:paraId="39EF3B1C" w14:textId="77777777" w:rsidR="009B426B" w:rsidRPr="009B426B" w:rsidRDefault="009B426B" w:rsidP="009B426B">
      <w:pPr>
        <w:rPr>
          <w:rFonts w:ascii="Garamond" w:eastAsia="Aptos" w:hAnsi="Garamond"/>
          <w:b/>
          <w:bCs/>
          <w:kern w:val="2"/>
          <w:szCs w:val="22"/>
          <w14:ligatures w14:val="standardContextual"/>
        </w:rPr>
      </w:pPr>
    </w:p>
    <w:p w14:paraId="29BB7312" w14:textId="77777777" w:rsidR="009B426B" w:rsidRPr="009B426B" w:rsidRDefault="009B426B" w:rsidP="009B426B">
      <w:pPr>
        <w:rPr>
          <w:rFonts w:ascii="Garamond" w:eastAsia="Aptos" w:hAnsi="Garamond"/>
          <w:kern w:val="2"/>
          <w:szCs w:val="22"/>
          <w14:ligatures w14:val="standardContextual"/>
        </w:rPr>
      </w:pPr>
      <w:r w:rsidRPr="009B426B">
        <w:rPr>
          <w:rFonts w:ascii="Garamond" w:eastAsia="Aptos" w:hAnsi="Garamond"/>
          <w:b/>
          <w:bCs/>
          <w:kern w:val="2"/>
          <w:szCs w:val="22"/>
          <w14:ligatures w14:val="standardContextual"/>
        </w:rPr>
        <w:t>Q: Can I transfer my allocation to another property?</w:t>
      </w:r>
      <w:r w:rsidRPr="009B426B">
        <w:rPr>
          <w:rFonts w:ascii="Garamond" w:eastAsia="Aptos" w:hAnsi="Garamond"/>
          <w:kern w:val="2"/>
          <w:szCs w:val="22"/>
          <w14:ligatures w14:val="standardContextual"/>
        </w:rPr>
        <w:br/>
      </w:r>
      <w:r w:rsidRPr="009B426B">
        <w:rPr>
          <w:rFonts w:ascii="Garamond" w:eastAsia="Aptos" w:hAnsi="Garamond"/>
          <w:b/>
          <w:bCs/>
          <w:kern w:val="2"/>
          <w:szCs w:val="22"/>
          <w14:ligatures w14:val="standardContextual"/>
        </w:rPr>
        <w:t>A:</w:t>
      </w:r>
      <w:r w:rsidRPr="009B426B">
        <w:rPr>
          <w:rFonts w:ascii="Garamond" w:eastAsia="Aptos" w:hAnsi="Garamond"/>
          <w:kern w:val="2"/>
          <w:szCs w:val="22"/>
          <w14:ligatures w14:val="standardContextual"/>
        </w:rPr>
        <w:t xml:space="preserve"> No. Allocation is tied to the specific property and project for which it was issued and cannot be sold or transferred.</w:t>
      </w:r>
    </w:p>
    <w:p w14:paraId="173A4179" w14:textId="77777777" w:rsidR="009B426B" w:rsidRPr="009B426B" w:rsidRDefault="009B426B" w:rsidP="009B426B">
      <w:pPr>
        <w:rPr>
          <w:rFonts w:ascii="Garamond" w:eastAsia="Aptos" w:hAnsi="Garamond"/>
          <w:b/>
          <w:bCs/>
          <w:kern w:val="2"/>
          <w:szCs w:val="22"/>
          <w14:ligatures w14:val="standardContextual"/>
        </w:rPr>
      </w:pPr>
    </w:p>
    <w:p w14:paraId="30EE80D2" w14:textId="77777777" w:rsidR="009B426B" w:rsidRPr="009B426B" w:rsidRDefault="009B426B" w:rsidP="009B426B">
      <w:pPr>
        <w:rPr>
          <w:rFonts w:ascii="Garamond" w:eastAsia="Aptos" w:hAnsi="Garamond"/>
          <w:kern w:val="2"/>
          <w:szCs w:val="22"/>
          <w14:ligatures w14:val="standardContextual"/>
        </w:rPr>
      </w:pPr>
      <w:r w:rsidRPr="009B426B">
        <w:rPr>
          <w:rFonts w:ascii="Garamond" w:eastAsia="Aptos" w:hAnsi="Garamond"/>
          <w:b/>
          <w:bCs/>
          <w:kern w:val="2"/>
          <w:szCs w:val="22"/>
          <w14:ligatures w14:val="standardContextual"/>
        </w:rPr>
        <w:t>Q: What happens if there isn’t enough capacity for my project?</w:t>
      </w:r>
      <w:r w:rsidRPr="009B426B">
        <w:rPr>
          <w:rFonts w:ascii="Garamond" w:eastAsia="Aptos" w:hAnsi="Garamond"/>
          <w:kern w:val="2"/>
          <w:szCs w:val="22"/>
          <w14:ligatures w14:val="standardContextual"/>
        </w:rPr>
        <w:br/>
      </w:r>
      <w:r w:rsidRPr="009B426B">
        <w:rPr>
          <w:rFonts w:ascii="Garamond" w:eastAsia="Aptos" w:hAnsi="Garamond"/>
          <w:b/>
          <w:bCs/>
          <w:kern w:val="2"/>
          <w:szCs w:val="22"/>
          <w14:ligatures w14:val="standardContextual"/>
        </w:rPr>
        <w:t>A:</w:t>
      </w:r>
      <w:r w:rsidRPr="009B426B">
        <w:rPr>
          <w:rFonts w:ascii="Garamond" w:eastAsia="Aptos" w:hAnsi="Garamond"/>
          <w:kern w:val="2"/>
          <w:szCs w:val="22"/>
          <w14:ligatures w14:val="standardContextual"/>
        </w:rPr>
        <w:t xml:space="preserve"> Projects may need to wait until additional capacity becomes available through system upgrades or expansions. In some cases, projects may need to fund improvements to create capacity.</w:t>
      </w:r>
    </w:p>
    <w:p w14:paraId="48D0C52A" w14:textId="77777777" w:rsidR="009B426B" w:rsidRPr="009B426B" w:rsidRDefault="009B426B" w:rsidP="009B426B">
      <w:pPr>
        <w:rPr>
          <w:rFonts w:ascii="Garamond" w:eastAsia="Aptos" w:hAnsi="Garamond"/>
          <w:b/>
          <w:bCs/>
          <w:kern w:val="2"/>
          <w:szCs w:val="22"/>
          <w14:ligatures w14:val="standardContextual"/>
        </w:rPr>
      </w:pPr>
    </w:p>
    <w:p w14:paraId="0C28C409" w14:textId="77777777" w:rsidR="009B426B" w:rsidRPr="009B426B" w:rsidRDefault="009B426B" w:rsidP="009B426B">
      <w:pPr>
        <w:rPr>
          <w:rFonts w:ascii="Garamond" w:eastAsia="Aptos" w:hAnsi="Garamond"/>
          <w:kern w:val="2"/>
          <w:szCs w:val="22"/>
          <w14:ligatures w14:val="standardContextual"/>
        </w:rPr>
      </w:pPr>
      <w:r w:rsidRPr="009B426B">
        <w:rPr>
          <w:rFonts w:ascii="Garamond" w:eastAsia="Aptos" w:hAnsi="Garamond"/>
          <w:b/>
          <w:bCs/>
          <w:kern w:val="2"/>
          <w:szCs w:val="22"/>
          <w14:ligatures w14:val="standardContextual"/>
        </w:rPr>
        <w:lastRenderedPageBreak/>
        <w:t>Q: Do I need allocation if I am on a private well or septic system?</w:t>
      </w:r>
      <w:r w:rsidRPr="009B426B">
        <w:rPr>
          <w:rFonts w:ascii="Garamond" w:eastAsia="Aptos" w:hAnsi="Garamond"/>
          <w:kern w:val="2"/>
          <w:szCs w:val="22"/>
          <w14:ligatures w14:val="standardContextual"/>
        </w:rPr>
        <w:br/>
      </w:r>
      <w:r w:rsidRPr="009B426B">
        <w:rPr>
          <w:rFonts w:ascii="Garamond" w:eastAsia="Aptos" w:hAnsi="Garamond"/>
          <w:b/>
          <w:bCs/>
          <w:kern w:val="2"/>
          <w:szCs w:val="22"/>
          <w14:ligatures w14:val="standardContextual"/>
        </w:rPr>
        <w:t>A:</w:t>
      </w:r>
      <w:r w:rsidRPr="009B426B">
        <w:rPr>
          <w:rFonts w:ascii="Garamond" w:eastAsia="Aptos" w:hAnsi="Garamond"/>
          <w:kern w:val="2"/>
          <w:szCs w:val="22"/>
          <w14:ligatures w14:val="standardContextual"/>
        </w:rPr>
        <w:t xml:space="preserve"> No. Allocation only applies to properties connecting to County water or sewer systems. Private wells and septic systems are regulated separately by Environmental Health.</w:t>
      </w:r>
    </w:p>
    <w:p w14:paraId="12F556B4" w14:textId="77777777" w:rsidR="009B426B" w:rsidRPr="009B426B" w:rsidRDefault="009B426B" w:rsidP="009B426B">
      <w:pPr>
        <w:rPr>
          <w:rFonts w:ascii="Garamond" w:eastAsia="Aptos" w:hAnsi="Garamond"/>
          <w:b/>
          <w:bCs/>
          <w:kern w:val="2"/>
          <w:szCs w:val="22"/>
          <w14:ligatures w14:val="standardContextual"/>
        </w:rPr>
      </w:pPr>
    </w:p>
    <w:p w14:paraId="690BEB2A" w14:textId="77777777" w:rsidR="009B426B" w:rsidRPr="009B426B" w:rsidRDefault="009B426B" w:rsidP="009B426B">
      <w:pPr>
        <w:rPr>
          <w:rFonts w:ascii="Garamond" w:eastAsia="Aptos" w:hAnsi="Garamond"/>
          <w:kern w:val="2"/>
          <w:szCs w:val="22"/>
          <w14:ligatures w14:val="standardContextual"/>
        </w:rPr>
      </w:pPr>
      <w:r w:rsidRPr="009B426B">
        <w:rPr>
          <w:rFonts w:ascii="Garamond" w:eastAsia="Aptos" w:hAnsi="Garamond"/>
          <w:b/>
          <w:bCs/>
          <w:kern w:val="2"/>
          <w:szCs w:val="22"/>
          <w14:ligatures w14:val="standardContextual"/>
        </w:rPr>
        <w:t>Q: How much does allocation cost?</w:t>
      </w:r>
      <w:r w:rsidRPr="009B426B">
        <w:rPr>
          <w:rFonts w:ascii="Garamond" w:eastAsia="Aptos" w:hAnsi="Garamond"/>
          <w:kern w:val="2"/>
          <w:szCs w:val="22"/>
          <w14:ligatures w14:val="standardContextual"/>
        </w:rPr>
        <w:br/>
      </w:r>
      <w:r w:rsidRPr="009B426B">
        <w:rPr>
          <w:rFonts w:ascii="Garamond" w:eastAsia="Aptos" w:hAnsi="Garamond"/>
          <w:b/>
          <w:bCs/>
          <w:kern w:val="2"/>
          <w:szCs w:val="22"/>
          <w14:ligatures w14:val="standardContextual"/>
        </w:rPr>
        <w:t>A:</w:t>
      </w:r>
      <w:r w:rsidRPr="009B426B">
        <w:rPr>
          <w:rFonts w:ascii="Garamond" w:eastAsia="Aptos" w:hAnsi="Garamond"/>
          <w:kern w:val="2"/>
          <w:szCs w:val="22"/>
          <w14:ligatures w14:val="standardContextual"/>
        </w:rPr>
        <w:t xml:space="preserve"> Fees vary based on the type and size of the project. The County has established allocation and connection fees to recover the cost of providing public service.</w:t>
      </w:r>
    </w:p>
    <w:p w14:paraId="094997CE" w14:textId="77777777" w:rsidR="009B426B" w:rsidRPr="009B426B" w:rsidRDefault="009B426B" w:rsidP="009B426B">
      <w:pPr>
        <w:rPr>
          <w:rFonts w:ascii="Garamond" w:eastAsia="Aptos" w:hAnsi="Garamond"/>
          <w:b/>
          <w:bCs/>
          <w:kern w:val="2"/>
          <w:szCs w:val="22"/>
          <w14:ligatures w14:val="standardContextual"/>
        </w:rPr>
      </w:pPr>
    </w:p>
    <w:p w14:paraId="675182BD" w14:textId="77777777" w:rsidR="009B426B" w:rsidRPr="009B426B" w:rsidRDefault="009B426B" w:rsidP="009B426B">
      <w:pPr>
        <w:rPr>
          <w:rFonts w:ascii="Garamond" w:eastAsia="Aptos" w:hAnsi="Garamond"/>
          <w:kern w:val="2"/>
          <w:szCs w:val="22"/>
          <w14:ligatures w14:val="standardContextual"/>
        </w:rPr>
      </w:pPr>
      <w:r w:rsidRPr="009B426B">
        <w:rPr>
          <w:rFonts w:ascii="Garamond" w:eastAsia="Aptos" w:hAnsi="Garamond"/>
          <w:b/>
          <w:bCs/>
          <w:kern w:val="2"/>
          <w:szCs w:val="22"/>
          <w14:ligatures w14:val="standardContextual"/>
        </w:rPr>
        <w:t>Q: Who reviews my application for allocation?</w:t>
      </w:r>
      <w:r w:rsidRPr="009B426B">
        <w:rPr>
          <w:rFonts w:ascii="Garamond" w:eastAsia="Aptos" w:hAnsi="Garamond"/>
          <w:kern w:val="2"/>
          <w:szCs w:val="22"/>
          <w14:ligatures w14:val="standardContextual"/>
        </w:rPr>
        <w:br/>
      </w:r>
      <w:r w:rsidRPr="009B426B">
        <w:rPr>
          <w:rFonts w:ascii="Garamond" w:eastAsia="Aptos" w:hAnsi="Garamond"/>
          <w:b/>
          <w:bCs/>
          <w:kern w:val="2"/>
          <w:szCs w:val="22"/>
          <w14:ligatures w14:val="standardContextual"/>
        </w:rPr>
        <w:t>A:</w:t>
      </w:r>
      <w:r w:rsidRPr="009B426B">
        <w:rPr>
          <w:rFonts w:ascii="Garamond" w:eastAsia="Aptos" w:hAnsi="Garamond"/>
          <w:kern w:val="2"/>
          <w:szCs w:val="22"/>
          <w14:ligatures w14:val="standardContextual"/>
        </w:rPr>
        <w:t xml:space="preserve"> The Department of Public Works (Sanitary District) reviews applications to confirm service area eligibility, system capacity, and compliance with County policy before allocation is issued.</w:t>
      </w:r>
    </w:p>
    <w:p w14:paraId="3D1182BF" w14:textId="77777777" w:rsidR="009B426B" w:rsidRPr="009B426B" w:rsidRDefault="009B426B" w:rsidP="009B426B">
      <w:pPr>
        <w:rPr>
          <w:rFonts w:ascii="Garamond" w:eastAsia="Aptos" w:hAnsi="Garamond"/>
          <w:kern w:val="2"/>
          <w:szCs w:val="22"/>
          <w14:ligatures w14:val="standardContextual"/>
        </w:rPr>
      </w:pPr>
      <w:r w:rsidRPr="009B426B">
        <w:rPr>
          <w:rFonts w:ascii="Garamond" w:eastAsia="Aptos" w:hAnsi="Garamond"/>
          <w:b/>
          <w:bCs/>
          <w:kern w:val="2"/>
          <w:szCs w:val="22"/>
          <w14:ligatures w14:val="standardContextual"/>
        </w:rPr>
        <w:t>Q: How often are allocations made available?</w:t>
      </w:r>
      <w:r w:rsidRPr="009B426B">
        <w:rPr>
          <w:rFonts w:ascii="Garamond" w:eastAsia="Aptos" w:hAnsi="Garamond"/>
          <w:kern w:val="2"/>
          <w:szCs w:val="22"/>
          <w14:ligatures w14:val="standardContextual"/>
        </w:rPr>
        <w:br/>
      </w:r>
      <w:r w:rsidRPr="009B426B">
        <w:rPr>
          <w:rFonts w:ascii="Garamond" w:eastAsia="Aptos" w:hAnsi="Garamond"/>
          <w:b/>
          <w:bCs/>
          <w:kern w:val="2"/>
          <w:szCs w:val="22"/>
          <w14:ligatures w14:val="standardContextual"/>
        </w:rPr>
        <w:t>A:</w:t>
      </w:r>
      <w:r w:rsidRPr="009B426B">
        <w:rPr>
          <w:rFonts w:ascii="Garamond" w:eastAsia="Aptos" w:hAnsi="Garamond"/>
          <w:kern w:val="2"/>
          <w:szCs w:val="22"/>
          <w14:ligatures w14:val="standardContextual"/>
        </w:rPr>
        <w:t xml:space="preserve"> Allocation availability is reviewed and updated regularly based on system capacity, capital improvements, and demand.</w:t>
      </w:r>
    </w:p>
    <w:bookmarkEnd w:id="1"/>
    <w:p w14:paraId="0DB46352" w14:textId="77777777" w:rsidR="00B4119B" w:rsidRDefault="00B4119B" w:rsidP="00B4119B"/>
    <w:sectPr w:rsidR="00B4119B" w:rsidSect="00705803">
      <w:type w:val="continuous"/>
      <w:pgSz w:w="12240" w:h="15840"/>
      <w:pgMar w:top="720" w:right="1152" w:bottom="720" w:left="1152" w:header="720" w:footer="3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7683" w14:textId="77777777" w:rsidR="001A7B57" w:rsidRDefault="001A7B57" w:rsidP="001A7B57">
      <w:r>
        <w:separator/>
      </w:r>
    </w:p>
  </w:endnote>
  <w:endnote w:type="continuationSeparator" w:id="0">
    <w:p w14:paraId="4B1DEA1D" w14:textId="77777777" w:rsidR="001A7B57" w:rsidRDefault="001A7B57" w:rsidP="001A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6BBF" w14:textId="77777777" w:rsidR="001A7B57" w:rsidRDefault="001A7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889A" w14:textId="77777777" w:rsidR="001A7B57" w:rsidRDefault="001A7B57" w:rsidP="001A7B57">
      <w:r>
        <w:separator/>
      </w:r>
    </w:p>
  </w:footnote>
  <w:footnote w:type="continuationSeparator" w:id="0">
    <w:p w14:paraId="5E0CE39F" w14:textId="77777777" w:rsidR="001A7B57" w:rsidRDefault="001A7B57" w:rsidP="001A7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B62B8"/>
    <w:multiLevelType w:val="hybridMultilevel"/>
    <w:tmpl w:val="FDAC6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D0489C"/>
    <w:multiLevelType w:val="hybridMultilevel"/>
    <w:tmpl w:val="4C84C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AE51E7"/>
    <w:multiLevelType w:val="hybridMultilevel"/>
    <w:tmpl w:val="7ED41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06364829">
    <w:abstractNumId w:val="0"/>
  </w:num>
  <w:num w:numId="2" w16cid:durableId="1345746596">
    <w:abstractNumId w:val="1"/>
  </w:num>
  <w:num w:numId="3" w16cid:durableId="430125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9C"/>
    <w:rsid w:val="000F00AF"/>
    <w:rsid w:val="00121D8A"/>
    <w:rsid w:val="00146C6A"/>
    <w:rsid w:val="001A7B57"/>
    <w:rsid w:val="001C2AC2"/>
    <w:rsid w:val="001E2F62"/>
    <w:rsid w:val="00213540"/>
    <w:rsid w:val="002511DE"/>
    <w:rsid w:val="00285587"/>
    <w:rsid w:val="00304B41"/>
    <w:rsid w:val="0031520C"/>
    <w:rsid w:val="00393B9C"/>
    <w:rsid w:val="003C0B34"/>
    <w:rsid w:val="00420DC1"/>
    <w:rsid w:val="00432687"/>
    <w:rsid w:val="00560361"/>
    <w:rsid w:val="005A2A0D"/>
    <w:rsid w:val="00705803"/>
    <w:rsid w:val="00723950"/>
    <w:rsid w:val="0085722B"/>
    <w:rsid w:val="008B025C"/>
    <w:rsid w:val="00937256"/>
    <w:rsid w:val="009564A6"/>
    <w:rsid w:val="00957558"/>
    <w:rsid w:val="009822DF"/>
    <w:rsid w:val="009B426B"/>
    <w:rsid w:val="009E3BEE"/>
    <w:rsid w:val="00A0375D"/>
    <w:rsid w:val="00A3076D"/>
    <w:rsid w:val="00AA578E"/>
    <w:rsid w:val="00AB1A5D"/>
    <w:rsid w:val="00B4119B"/>
    <w:rsid w:val="00B4233C"/>
    <w:rsid w:val="00C53037"/>
    <w:rsid w:val="00C67AD1"/>
    <w:rsid w:val="00CB3FB3"/>
    <w:rsid w:val="00CB6545"/>
    <w:rsid w:val="00E14F9E"/>
    <w:rsid w:val="00FF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14FB0"/>
  <w15:chartTrackingRefBased/>
  <w15:docId w15:val="{9E26C3EE-2423-4EDD-9A7E-19C0B1A0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3B9C"/>
    <w:pPr>
      <w:keepNext/>
      <w:outlineLvl w:val="0"/>
    </w:pPr>
    <w:rPr>
      <w:rFonts w:ascii="Harrington" w:hAnsi="Harrington" w:cs="Tahoma"/>
      <w:b/>
      <w:bCs/>
      <w:sz w:val="32"/>
    </w:rPr>
  </w:style>
  <w:style w:type="paragraph" w:styleId="Heading2">
    <w:name w:val="heading 2"/>
    <w:basedOn w:val="Normal"/>
    <w:next w:val="Normal"/>
    <w:link w:val="Heading2Char"/>
    <w:qFormat/>
    <w:rsid w:val="00393B9C"/>
    <w:pPr>
      <w:keepNext/>
      <w:ind w:left="7920"/>
      <w:outlineLvl w:val="1"/>
    </w:pPr>
    <w:rPr>
      <w:rFonts w:ascii="Lucida Calligraphy" w:hAnsi="Lucida Calligraphy" w:cs="Tahoma"/>
      <w:b/>
      <w:bCs/>
      <w:sz w:val="28"/>
    </w:rPr>
  </w:style>
  <w:style w:type="paragraph" w:styleId="Heading3">
    <w:name w:val="heading 3"/>
    <w:basedOn w:val="Normal"/>
    <w:next w:val="Normal"/>
    <w:link w:val="Heading3Char"/>
    <w:qFormat/>
    <w:rsid w:val="00393B9C"/>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B9C"/>
    <w:rPr>
      <w:rFonts w:ascii="Harrington" w:eastAsia="Times New Roman" w:hAnsi="Harrington" w:cs="Tahoma"/>
      <w:b/>
      <w:bCs/>
      <w:sz w:val="32"/>
      <w:szCs w:val="24"/>
    </w:rPr>
  </w:style>
  <w:style w:type="character" w:customStyle="1" w:styleId="Heading2Char">
    <w:name w:val="Heading 2 Char"/>
    <w:basedOn w:val="DefaultParagraphFont"/>
    <w:link w:val="Heading2"/>
    <w:rsid w:val="00393B9C"/>
    <w:rPr>
      <w:rFonts w:ascii="Lucida Calligraphy" w:eastAsia="Times New Roman" w:hAnsi="Lucida Calligraphy" w:cs="Tahoma"/>
      <w:b/>
      <w:bCs/>
      <w:sz w:val="28"/>
      <w:szCs w:val="24"/>
    </w:rPr>
  </w:style>
  <w:style w:type="character" w:customStyle="1" w:styleId="Heading3Char">
    <w:name w:val="Heading 3 Char"/>
    <w:basedOn w:val="DefaultParagraphFont"/>
    <w:link w:val="Heading3"/>
    <w:rsid w:val="00393B9C"/>
    <w:rPr>
      <w:rFonts w:ascii="Times New Roman" w:eastAsia="Times New Roman" w:hAnsi="Times New Roman" w:cs="Times New Roman"/>
      <w:sz w:val="28"/>
      <w:szCs w:val="24"/>
    </w:rPr>
  </w:style>
  <w:style w:type="character" w:styleId="Hyperlink">
    <w:name w:val="Hyperlink"/>
    <w:rsid w:val="00393B9C"/>
    <w:rPr>
      <w:color w:val="0000FF"/>
      <w:u w:val="single"/>
    </w:rPr>
  </w:style>
  <w:style w:type="paragraph" w:styleId="BodyText2">
    <w:name w:val="Body Text 2"/>
    <w:basedOn w:val="Normal"/>
    <w:link w:val="BodyText2Char"/>
    <w:rsid w:val="00393B9C"/>
    <w:pPr>
      <w:jc w:val="right"/>
    </w:pPr>
    <w:rPr>
      <w:rFonts w:ascii="Tahoma" w:hAnsi="Tahoma" w:cs="Tahoma"/>
      <w:b/>
      <w:bCs/>
    </w:rPr>
  </w:style>
  <w:style w:type="character" w:customStyle="1" w:styleId="BodyText2Char">
    <w:name w:val="Body Text 2 Char"/>
    <w:basedOn w:val="DefaultParagraphFont"/>
    <w:link w:val="BodyText2"/>
    <w:rsid w:val="00393B9C"/>
    <w:rPr>
      <w:rFonts w:ascii="Tahoma" w:eastAsia="Times New Roman" w:hAnsi="Tahoma" w:cs="Tahoma"/>
      <w:b/>
      <w:bCs/>
      <w:sz w:val="24"/>
      <w:szCs w:val="24"/>
    </w:rPr>
  </w:style>
  <w:style w:type="character" w:customStyle="1" w:styleId="fontstyle01">
    <w:name w:val="fontstyle01"/>
    <w:rsid w:val="00393B9C"/>
    <w:rPr>
      <w:rFonts w:ascii="Times-Roman" w:hAnsi="Times-Roman" w:hint="default"/>
      <w:b w:val="0"/>
      <w:bCs w:val="0"/>
      <w:i w:val="0"/>
      <w:iCs w:val="0"/>
      <w:color w:val="000000"/>
      <w:sz w:val="24"/>
      <w:szCs w:val="24"/>
    </w:rPr>
  </w:style>
  <w:style w:type="paragraph" w:styleId="NoSpacing">
    <w:name w:val="No Spacing"/>
    <w:uiPriority w:val="1"/>
    <w:qFormat/>
    <w:rsid w:val="00121D8A"/>
    <w:pPr>
      <w:spacing w:after="0" w:line="240" w:lineRule="auto"/>
    </w:pPr>
    <w:rPr>
      <w:rFonts w:ascii="Calibri" w:eastAsia="Calibri" w:hAnsi="Calibri" w:cs="Times New Roman"/>
    </w:rPr>
  </w:style>
  <w:style w:type="paragraph" w:customStyle="1" w:styleId="Default">
    <w:name w:val="Default"/>
    <w:rsid w:val="00121D8A"/>
    <w:pPr>
      <w:autoSpaceDE w:val="0"/>
      <w:autoSpaceDN w:val="0"/>
      <w:adjustRightInd w:val="0"/>
      <w:spacing w:after="0" w:line="240" w:lineRule="auto"/>
    </w:pPr>
    <w:rPr>
      <w:rFonts w:ascii="Calibri" w:eastAsiaTheme="minorEastAsia" w:hAnsi="Calibri" w:cs="Calibri"/>
      <w:color w:val="000000"/>
      <w:sz w:val="24"/>
      <w:szCs w:val="24"/>
    </w:rPr>
  </w:style>
  <w:style w:type="paragraph" w:styleId="ListParagraph">
    <w:name w:val="List Paragraph"/>
    <w:basedOn w:val="Normal"/>
    <w:uiPriority w:val="34"/>
    <w:qFormat/>
    <w:rsid w:val="00A0375D"/>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A037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75D"/>
    <w:rPr>
      <w:rFonts w:ascii="Segoe UI" w:eastAsia="Times New Roman" w:hAnsi="Segoe UI" w:cs="Segoe UI"/>
      <w:sz w:val="18"/>
      <w:szCs w:val="18"/>
    </w:rPr>
  </w:style>
  <w:style w:type="paragraph" w:styleId="Header">
    <w:name w:val="header"/>
    <w:basedOn w:val="Normal"/>
    <w:link w:val="HeaderChar"/>
    <w:uiPriority w:val="99"/>
    <w:unhideWhenUsed/>
    <w:rsid w:val="001A7B57"/>
    <w:pPr>
      <w:tabs>
        <w:tab w:val="center" w:pos="4680"/>
        <w:tab w:val="right" w:pos="9360"/>
      </w:tabs>
    </w:pPr>
  </w:style>
  <w:style w:type="character" w:customStyle="1" w:styleId="HeaderChar">
    <w:name w:val="Header Char"/>
    <w:basedOn w:val="DefaultParagraphFont"/>
    <w:link w:val="Header"/>
    <w:uiPriority w:val="99"/>
    <w:rsid w:val="001A7B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7B57"/>
    <w:pPr>
      <w:tabs>
        <w:tab w:val="center" w:pos="4680"/>
        <w:tab w:val="right" w:pos="9360"/>
      </w:tabs>
    </w:pPr>
  </w:style>
  <w:style w:type="character" w:customStyle="1" w:styleId="FooterChar">
    <w:name w:val="Footer Char"/>
    <w:basedOn w:val="DefaultParagraphFont"/>
    <w:link w:val="Footer"/>
    <w:uiPriority w:val="99"/>
    <w:rsid w:val="001A7B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9496">
      <w:bodyDiv w:val="1"/>
      <w:marLeft w:val="0"/>
      <w:marRight w:val="0"/>
      <w:marTop w:val="0"/>
      <w:marBottom w:val="0"/>
      <w:divBdr>
        <w:top w:val="none" w:sz="0" w:space="0" w:color="auto"/>
        <w:left w:val="none" w:sz="0" w:space="0" w:color="auto"/>
        <w:bottom w:val="none" w:sz="0" w:space="0" w:color="auto"/>
        <w:right w:val="none" w:sz="0" w:space="0" w:color="auto"/>
      </w:divBdr>
    </w:div>
    <w:div w:id="188521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5B508-EE5B-41DD-984B-69A68B7E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QAC Government</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Houck</dc:creator>
  <cp:keywords/>
  <dc:description/>
  <cp:lastModifiedBy>Sara McCafferty</cp:lastModifiedBy>
  <cp:revision>2</cp:revision>
  <cp:lastPrinted>2023-10-19T10:30:00Z</cp:lastPrinted>
  <dcterms:created xsi:type="dcterms:W3CDTF">2025-11-20T17:46:00Z</dcterms:created>
  <dcterms:modified xsi:type="dcterms:W3CDTF">2025-11-20T17:46:00Z</dcterms:modified>
</cp:coreProperties>
</file>